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80" w:rsidRDefault="00B01D72">
      <w:pPr>
        <w:spacing w:line="240" w:lineRule="auto"/>
        <w:jc w:val="center"/>
      </w:pPr>
      <w:bookmarkStart w:id="0" w:name="_GoBack"/>
      <w:bookmarkEnd w:id="0"/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  <w:t>OBRAZLOŽENJE IZMJENA I DOPUNA FINANCIJSKOG PLANA HRVATSKOG ZAVODA ZA ZDRAVSTVENO OSIGURANJE ZA  2023. GODINU I PROJEKCIJA PLANA ZA 2024. I 2025. GODINU</w:t>
      </w:r>
      <w:r>
        <w:rPr>
          <w:rFonts w:ascii="Calibri" w:hAnsi="Calibri" w:cs="Calibri"/>
          <w:b/>
          <w:sz w:val="28"/>
        </w:rPr>
        <w:br w:type="page"/>
      </w:r>
    </w:p>
    <w:p w:rsidR="000A2D80" w:rsidRDefault="00B01D72">
      <w:pPr>
        <w:spacing w:line="240" w:lineRule="auto"/>
      </w:pPr>
      <w:r>
        <w:rPr>
          <w:rFonts w:ascii="Calibri" w:hAnsi="Calibri" w:cs="Calibri"/>
          <w:b/>
          <w:u w:val="single"/>
        </w:rPr>
        <w:lastRenderedPageBreak/>
        <w:br/>
        <w:t>UVOD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Financijskim planom HZZO-a za 2023. godinu i projekcijama za 2024. i 2025. godinu prethodno usuglašenim s nadležnim Ministarstvom zdravstva i Ministarstvom financija na koji je Hrvatski sabor dao suglasnost („Narodne novine“, broj 145/2022.), ukupni prihod</w:t>
      </w:r>
      <w:r>
        <w:rPr>
          <w:rFonts w:ascii="Calibri" w:hAnsi="Calibri" w:cs="Calibri"/>
          <w:color w:val="262626"/>
        </w:rPr>
        <w:t>i planirani su u iznosu od 4.786.856.435 EUR, ukupni rashodi u iznosu od 4.691.962.477 EUR, a planirani višak prihoda od 94.893.958 EUR predviđen je za otplatu preostalog dijela beskamatnog zajma dobivenog u 2020. godini od Ministarstva financija kao kompe</w:t>
      </w:r>
      <w:r>
        <w:rPr>
          <w:rFonts w:ascii="Calibri" w:hAnsi="Calibri" w:cs="Calibri"/>
          <w:color w:val="262626"/>
        </w:rPr>
        <w:t>nzacijsku mjeru zbog mjera pomoći gospodarstvenicima (u dijelu odgode ili oslobođenja od plaćanja doprinosa za zdravstveno osiguranje), a u cilju prevladavanja neredovitog priliva prihoda od doprinosa izazvanog poremećajima u gospodarstvu zbog pandemije bo</w:t>
      </w:r>
      <w:r>
        <w:rPr>
          <w:rFonts w:ascii="Calibri" w:hAnsi="Calibri" w:cs="Calibri"/>
          <w:color w:val="262626"/>
        </w:rPr>
        <w:t>lesti COVID-19.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Nastavkom rasta gospodarskih aktivnosti u prvom kvartalu tekuće godine, rastu i bruto plaće, a evidentiran je i veći broj zaposlenih, što je pridonijelo većem prosječnom mjesečnom ostvarenju prihoda od doprinosa nego je prvobitno očekivano.</w:t>
      </w:r>
      <w:r>
        <w:rPr>
          <w:rFonts w:ascii="Calibri" w:hAnsi="Calibri" w:cs="Calibri"/>
          <w:color w:val="262626"/>
        </w:rPr>
        <w:t xml:space="preserve"> Istovremeno, Uredbom o izmjenama i dopunama Uredbe o nazivima radnih mjesta i koeficijentima složenosti poslova u javnim službama („Narodne novine“, broj 26/2023.) zbog povećanja koeficijenata pojedinih vrsta poslova, očekuje se povećanje rashoda prema zd</w:t>
      </w:r>
      <w:r>
        <w:rPr>
          <w:rFonts w:ascii="Calibri" w:hAnsi="Calibri" w:cs="Calibri"/>
          <w:color w:val="262626"/>
        </w:rPr>
        <w:t>ravstvenim ustanovama kroz povećanje limita i cijena zdravstvenih usluga s osnova vrijednosti rada. Isto tako, izmjenom Pravilnika o mjerilima za stavljanje medicinskih proizvoda na osnovnu i dodatnu listu medicinskih proizvoda HZZO-a te mjerilima za određ</w:t>
      </w:r>
      <w:r>
        <w:rPr>
          <w:rFonts w:ascii="Calibri" w:hAnsi="Calibri" w:cs="Calibri"/>
          <w:color w:val="262626"/>
        </w:rPr>
        <w:t xml:space="preserve">ivanje cijena medicinskih proizvoda temeljem članka 18.a („Narodne novine“, broj 5/19, 146/22), predstavnicima, distributerima ili proizvođačima za Republiku Hrvatsku, omogućeno je podnošenje zahtjeva za povećanjem cijena medicinskih proizvoda koji su već </w:t>
      </w:r>
      <w:r>
        <w:rPr>
          <w:rFonts w:ascii="Calibri" w:hAnsi="Calibri" w:cs="Calibri"/>
          <w:color w:val="262626"/>
        </w:rPr>
        <w:t>uvršteni na osnovnu i dodatnu listu medicinskih proizvoda, što je većina i učinila. Budući da su zahtjevi za povećanjem cijena prihvaćeni od Upravnog vijeća HZZO-a, došlo je do znatnog porasta cijena pomagala kod svih skupina pomagala s Liste što stvara do</w:t>
      </w:r>
      <w:r>
        <w:rPr>
          <w:rFonts w:ascii="Calibri" w:hAnsi="Calibri" w:cs="Calibri"/>
          <w:color w:val="262626"/>
        </w:rPr>
        <w:t>datni trošak na toj poziciji.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Sukladno prethodno navedenom, potrebno je napraviti Izmjene i dopune financijskog plana HZZO-a za 2023. godinu te pokriti povećane troškove zdravstvene zaštite u okviru očekivanog povećanja  prihoda, a sve u cilju pravovremeno</w:t>
      </w:r>
      <w:r>
        <w:rPr>
          <w:rFonts w:ascii="Calibri" w:hAnsi="Calibri" w:cs="Calibri"/>
          <w:color w:val="262626"/>
        </w:rPr>
        <w:t>g podmirivanja obveza prema ugovornim subjektima kao i isplate novčanih naknada zbog privremene nesposobnosti za rad.</w:t>
      </w:r>
    </w:p>
    <w:p w:rsidR="000A2D80" w:rsidRDefault="00B01D72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PRIHODI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1"/>
        <w:gridCol w:w="1604"/>
        <w:gridCol w:w="1604"/>
        <w:gridCol w:w="1604"/>
        <w:gridCol w:w="803"/>
      </w:tblGrid>
      <w:tr w:rsidR="000A2D80">
        <w:tc>
          <w:tcPr>
            <w:tcW w:w="2000" w:type="pct"/>
            <w:shd w:val="clear" w:color="auto" w:fill="BCDFFB"/>
            <w:vAlign w:val="center"/>
          </w:tcPr>
          <w:p w:rsidR="000A2D80" w:rsidRDefault="000A2D80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PRIHODI POSLOVANJA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4.786.591.435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279.992.724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5.066.584.159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105,8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PRIHODI OD PRODAJE NEFINANCIJSKE IMOVINE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265.000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265.000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UKUPNI PRIHODI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4.786.856.435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279.992.724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5.066.849.159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105,8</w:t>
            </w:r>
          </w:p>
        </w:tc>
      </w:tr>
    </w:tbl>
    <w:p w:rsidR="000A2D80" w:rsidRDefault="000A2D80">
      <w:pPr>
        <w:spacing w:after="0" w:line="240" w:lineRule="auto"/>
      </w:pP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U okviru prihoda poslovanja, najznačajniju stavku čine prihodi od doprinosa za zdravstveno osiguranje koji se ostvaruju brže od</w:t>
      </w:r>
      <w:r>
        <w:rPr>
          <w:rFonts w:ascii="Calibri" w:hAnsi="Calibri" w:cs="Calibri"/>
          <w:color w:val="262626"/>
        </w:rPr>
        <w:t xml:space="preserve"> očekivanog. Tako je  na poziciji 6211 Doprinosi za obvezno zdravstveno osiguranje, sukladno dosadašnjem ostvarenju i procjeni ostvarenja do kraja godine, predviđeno povećanje od 279.950.724 EUR te je sada planirani iznos 3.972.087.579 EUR ili 7,58 % više </w:t>
      </w:r>
      <w:r>
        <w:rPr>
          <w:rFonts w:ascii="Calibri" w:hAnsi="Calibri" w:cs="Calibri"/>
          <w:color w:val="262626"/>
        </w:rPr>
        <w:t xml:space="preserve">sredstava. Isto tako, s obzirom na to da su u prvom kvartalu ostvareni prihodi u okviru skupine konta 68 Kazne, upravne mjere i ostali prihodi, a nisu planirana sredstva u tekućem planu, na pozicijama 68191 Ostale nespomenute kazne i 68311 Ostali prihodi, </w:t>
      </w:r>
      <w:r>
        <w:rPr>
          <w:rFonts w:ascii="Calibri" w:hAnsi="Calibri" w:cs="Calibri"/>
          <w:color w:val="262626"/>
        </w:rPr>
        <w:t>predviđen je ukupan iznos od 42.000 EUR. Povećanje sredstava na prethodno spomenutim pozicijama, čini sveukupno povećanje prihoda u iznosu od 279.992.724 EUR koje će se rasporediti na aktivnosti financijskog plana koje pokrivaju zdravstvenu zaštitu, novčan</w:t>
      </w:r>
      <w:r>
        <w:rPr>
          <w:rFonts w:ascii="Calibri" w:hAnsi="Calibri" w:cs="Calibri"/>
          <w:color w:val="262626"/>
        </w:rPr>
        <w:t xml:space="preserve">e naknade, rashode Stručne službe, ali i za pokriće preostalog dijela dospjelog, a neplaćenog beskamatnog zajma iz prethodne godine, predviđenog za podmirenje u 2023. godini. 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 xml:space="preserve">Prijedlogom </w:t>
      </w:r>
      <w:r>
        <w:rPr>
          <w:rFonts w:ascii="Calibri" w:hAnsi="Calibri" w:cs="Calibri"/>
          <w:color w:val="262626"/>
        </w:rPr>
        <w:t>Izmjena i dopuna financijskog plana HZZO-a za 2023. godinu, ukupni prihodi iznose 5.066.849.159 EUR, što predstavlja povećanje od 5,85 % u odnosu na postojeći plan.</w:t>
      </w:r>
    </w:p>
    <w:p w:rsidR="000A2D80" w:rsidRDefault="00B01D72">
      <w:pPr>
        <w:spacing w:line="240" w:lineRule="auto"/>
      </w:pPr>
      <w:r>
        <w:rPr>
          <w:rFonts w:ascii="Calibri" w:hAnsi="Calibri" w:cs="Calibri"/>
          <w:b/>
          <w:u w:val="single"/>
        </w:rPr>
        <w:lastRenderedPageBreak/>
        <w:br/>
        <w:t>RASHODI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97"/>
        <w:gridCol w:w="1639"/>
        <w:gridCol w:w="1638"/>
        <w:gridCol w:w="1638"/>
        <w:gridCol w:w="820"/>
      </w:tblGrid>
      <w:tr w:rsidR="000A2D80">
        <w:tc>
          <w:tcPr>
            <w:tcW w:w="2000" w:type="pct"/>
            <w:shd w:val="clear" w:color="auto" w:fill="BCDFFB"/>
            <w:vAlign w:val="center"/>
          </w:tcPr>
          <w:p w:rsidR="000A2D80" w:rsidRDefault="000A2D80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RASHODI POSLOVANJA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4.667.128.477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267.332.508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4.934.460.985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105,7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RASHODI ZA NABAVU NEFINANCIJSKE IMOVINE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24.834.000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24.834.000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UKUPNI RASHODI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4.691.962.477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267.332.508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4.959.294.985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105,7</w:t>
            </w:r>
          </w:p>
        </w:tc>
      </w:tr>
    </w:tbl>
    <w:p w:rsidR="000A2D80" w:rsidRDefault="000A2D80">
      <w:pPr>
        <w:spacing w:after="0" w:line="240" w:lineRule="auto"/>
      </w:pP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 xml:space="preserve">Ukupan iznos procijenjenog </w:t>
      </w:r>
      <w:r>
        <w:rPr>
          <w:rFonts w:ascii="Calibri" w:hAnsi="Calibri" w:cs="Calibri"/>
          <w:color w:val="262626"/>
        </w:rPr>
        <w:t>povećanja prihoda raspoređen je, u okviru rashodne strane, na pojedine aktivnosti zdravstvene zaštite i novčanih naknada zbog procjene povećanja troškova do kraja godine. Tako je u okviru programa 6000 Obvezno zdravstveno osiguranje, ozljede na radu i prof</w:t>
      </w:r>
      <w:r>
        <w:rPr>
          <w:rFonts w:ascii="Calibri" w:hAnsi="Calibri" w:cs="Calibri"/>
          <w:color w:val="262626"/>
        </w:rPr>
        <w:t>esionalne bolesti, na troškove zdravstvene zaštite obveznog zdravstvenog osiguranja prema povećanju novčanih sredstava za aktivnosti koje pokrivaju zdravstvenu zaštitu dodatno raspoređeno 240.384.000 EUR, za novčane naknade 11.319.943 EUR i troškove za adm</w:t>
      </w:r>
      <w:r>
        <w:rPr>
          <w:rFonts w:ascii="Calibri" w:hAnsi="Calibri" w:cs="Calibri"/>
          <w:color w:val="262626"/>
        </w:rPr>
        <w:t xml:space="preserve">inistraciju i upravljanje obveznog zdravstvenog osiguranja 3.404.200 EUR. 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Najznačajnije povećanje u okviru troškova zdravstvene zaštite u odnosu na tekući plan,  evidentirano je na aktivnostima A600003 Bolnička zdravstvena zaštita koja je povećana za 100.</w:t>
      </w:r>
      <w:r>
        <w:rPr>
          <w:rFonts w:ascii="Calibri" w:hAnsi="Calibri" w:cs="Calibri"/>
          <w:color w:val="262626"/>
        </w:rPr>
        <w:t>000.000 EUR i sada iznosi 1.868.941.000 EUR ili 5,65 % više, A600002 Ortopedski uređaji i pomagala s povećanjem od 37.500.000 EUR zbog značajnijeg povećanja cijena na svim skupinama pomagala te sada iznosi 164.541.000 EUR ili 29,52 % više. A600000 Primarna</w:t>
      </w:r>
      <w:r>
        <w:rPr>
          <w:rFonts w:ascii="Calibri" w:hAnsi="Calibri" w:cs="Calibri"/>
          <w:color w:val="262626"/>
        </w:rPr>
        <w:t xml:space="preserve"> zdravstvena zaštita povećana je 32.284.000 EUR te sada iznosi 684.614.000 EUR ili 4,95 % više, A600001 Lijekovi na recepte 25.500.000 EUR i novim iznosom od 660.706.000 EUR ili 4,01 % više te aktivnost A600005 Posebno skupi lijekovi s povećanjem od 28.500</w:t>
      </w:r>
      <w:r>
        <w:rPr>
          <w:rFonts w:ascii="Calibri" w:hAnsi="Calibri" w:cs="Calibri"/>
          <w:color w:val="262626"/>
        </w:rPr>
        <w:t>.000 EUR i novim iznosom od 368.500.000 EUR ili 8,38 % više.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U okviru spomenutog iznosa povećanja za novčane naknade, najveće povećanje u nominalnom iznosu odnosi se na aktivnost A600009 Naknade plaće zbog privremene nesposobnosti za rad s povećanjem od 5.</w:t>
      </w:r>
      <w:r>
        <w:rPr>
          <w:rFonts w:ascii="Calibri" w:hAnsi="Calibri" w:cs="Calibri"/>
          <w:color w:val="262626"/>
        </w:rPr>
        <w:t>281.943 EUR i sada iznosi 218.810.763 EUR, za ostale isplate osiguranicima (A600012) zbog većeg povećanja od planiranih, predviđeno je 2.600.000 EUR više sredstava, odnosno ukupan planirani iznos 24.663.000 EUR i na aktivnosti A600011 Naknade za redovni ro</w:t>
      </w:r>
      <w:r>
        <w:rPr>
          <w:rFonts w:ascii="Calibri" w:hAnsi="Calibri" w:cs="Calibri"/>
          <w:color w:val="262626"/>
        </w:rPr>
        <w:t xml:space="preserve">diljni dopust povećanje u iznosu od 1.300.000 EUR ili ukupan iznos od 168.058.000 EUR. 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U okviru programa 6001 Dobrovoljno zdravstveno osiguranje, zbog povećanja troškova zdravstvene zaštite dobrovoljnog zdravstvenog osiguranja iznad planom predviđenih, po</w:t>
      </w:r>
      <w:r>
        <w:rPr>
          <w:rFonts w:ascii="Calibri" w:hAnsi="Calibri" w:cs="Calibri"/>
          <w:color w:val="262626"/>
        </w:rPr>
        <w:t>većana su sredstva za 11.724.000 EUR, a za administraciju i upravljanje dobrovoljnim zdravstvenim osiguranjem 499.500 EUR.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Slijedom prethodno iznesenog, rashodi poslovanja povećani su u ukupnom iznosu za 267.332.508 EUR (255.108.143 EUR obvezno zdravstveno</w:t>
      </w:r>
      <w:r>
        <w:rPr>
          <w:rFonts w:ascii="Calibri" w:hAnsi="Calibri" w:cs="Calibri"/>
          <w:color w:val="262626"/>
        </w:rPr>
        <w:t xml:space="preserve"> osiguranje, 12.223.500 EUR dobrovoljno zdravstveno osiguranje i 865 EUR EU projekti) što u odnosu na tekući plan predstavlja povećanje od 5,73 % i sada iznose 4.934.460.985 EUR. 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Prijedlogom Izmjena i dopuna financijskog plana HZZO-a za 2023. godinu, ukup</w:t>
      </w:r>
      <w:r>
        <w:rPr>
          <w:rFonts w:ascii="Calibri" w:hAnsi="Calibri" w:cs="Calibri"/>
          <w:color w:val="262626"/>
        </w:rPr>
        <w:t>ni rashodi iznose 4.959.294.985 EUR, što predstavlja povećanje od 5,70 % u odnosu na postojeći plan.</w:t>
      </w:r>
    </w:p>
    <w:p w:rsidR="000A2D80" w:rsidRDefault="00B01D72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UKUPNI VIŠAK/MANJAK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97"/>
        <w:gridCol w:w="1639"/>
        <w:gridCol w:w="1638"/>
        <w:gridCol w:w="1638"/>
        <w:gridCol w:w="820"/>
      </w:tblGrid>
      <w:tr w:rsidR="000A2D80">
        <w:tc>
          <w:tcPr>
            <w:tcW w:w="2000" w:type="pct"/>
            <w:shd w:val="clear" w:color="auto" w:fill="BCDFFB"/>
            <w:vAlign w:val="center"/>
          </w:tcPr>
          <w:p w:rsidR="000A2D80" w:rsidRDefault="000A2D80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UKUPNI PRIHODI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4.786.856.435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279.992.724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5.066.849.159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105,8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 xml:space="preserve">UKUPNI </w:t>
            </w:r>
            <w:r>
              <w:rPr>
                <w:rFonts w:ascii="Calibri" w:hAnsi="Calibri" w:cs="Calibri"/>
                <w:sz w:val="18"/>
              </w:rPr>
              <w:t>RASHODI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4.691.962.477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267.332.508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4.959.294.985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105,7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RAZLIKA - VIŠAK/MANJAK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94.893.958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12.660.216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107.554.174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113,3</w:t>
            </w:r>
          </w:p>
        </w:tc>
      </w:tr>
    </w:tbl>
    <w:p w:rsidR="000A2D80" w:rsidRDefault="000A2D80">
      <w:pPr>
        <w:spacing w:after="0" w:line="240" w:lineRule="auto"/>
      </w:pP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Prijedlogom izmjena i dopuna financijskog plana HZZO-a za 2023. godinu iskazan je višak prihoda u iznosu od 107.554.174 EUR koji je pred</w:t>
      </w:r>
      <w:r>
        <w:rPr>
          <w:rFonts w:ascii="Calibri" w:hAnsi="Calibri" w:cs="Calibri"/>
          <w:color w:val="262626"/>
        </w:rPr>
        <w:t>viđen za otplatu beskamatnog zajma dobivenog od Ministarstva financija u 2020. godini.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 xml:space="preserve">Naime, zbog preostale obveze iz prethodne godine, povećava se iznos izdataka za otplatu beskamatnog </w:t>
      </w:r>
      <w:r>
        <w:rPr>
          <w:rFonts w:ascii="Calibri" w:hAnsi="Calibri" w:cs="Calibri"/>
          <w:color w:val="262626"/>
        </w:rPr>
        <w:t>zajma od prvobitno predviđenih 94.893.958 EUR na 107.554.174 EUR ili za 12.660.216 EUR više, koliko iznosi dospjela, a neplaćena obveza za otplatu zajma iz 2022. godine.</w:t>
      </w:r>
    </w:p>
    <w:p w:rsidR="000A2D80" w:rsidRDefault="00B01D72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RAČUN FINANCIRANJA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97"/>
        <w:gridCol w:w="1639"/>
        <w:gridCol w:w="1638"/>
        <w:gridCol w:w="1638"/>
        <w:gridCol w:w="820"/>
      </w:tblGrid>
      <w:tr w:rsidR="000A2D80">
        <w:tc>
          <w:tcPr>
            <w:tcW w:w="2000" w:type="pct"/>
            <w:shd w:val="clear" w:color="auto" w:fill="BCDFFB"/>
            <w:vAlign w:val="center"/>
          </w:tcPr>
          <w:p w:rsidR="000A2D80" w:rsidRDefault="000A2D80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0A2D80" w:rsidRDefault="00B01D72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PRIMICI OD FINANCIJSKE IMOVINE I ZADUŽIVANJA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400" w:type="pct"/>
            <w:vAlign w:val="bottom"/>
          </w:tcPr>
          <w:p w:rsidR="000A2D80" w:rsidRDefault="000A2D80">
            <w:pPr>
              <w:spacing w:after="0" w:line="240" w:lineRule="auto"/>
              <w:jc w:val="right"/>
            </w:pP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IZDACI ZA FINANCIJSKU IMOVINU I OTPLATE ZAJMOVA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94.893.958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12.660.216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107.554.174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113,3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PRIJENOS SREDSTAVA IZ PRETHODNE GODINE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139.027.636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23.638.404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162.666.040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117,0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 xml:space="preserve">PRIJENOS SREDSTAVA U SLJEDEĆU </w:t>
            </w:r>
            <w:r>
              <w:rPr>
                <w:rFonts w:ascii="Calibri" w:hAnsi="Calibri" w:cs="Calibri"/>
                <w:sz w:val="18"/>
              </w:rPr>
              <w:t>GODINU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-139.027.636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-23.638.404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-162.666.040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117,0</w:t>
            </w:r>
          </w:p>
        </w:tc>
      </w:tr>
      <w:tr w:rsidR="000A2D80">
        <w:tc>
          <w:tcPr>
            <w:tcW w:w="2000" w:type="pct"/>
            <w:vAlign w:val="bottom"/>
          </w:tcPr>
          <w:p w:rsidR="000A2D80" w:rsidRDefault="00B01D72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NETO FINANCIRANJE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-94.893.958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-12.660.216</w:t>
            </w:r>
          </w:p>
        </w:tc>
        <w:tc>
          <w:tcPr>
            <w:tcW w:w="8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-107.554.174</w:t>
            </w:r>
          </w:p>
        </w:tc>
        <w:tc>
          <w:tcPr>
            <w:tcW w:w="400" w:type="pct"/>
            <w:vAlign w:val="bottom"/>
          </w:tcPr>
          <w:p w:rsidR="000A2D80" w:rsidRDefault="00B01D72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113,3</w:t>
            </w:r>
          </w:p>
        </w:tc>
      </w:tr>
    </w:tbl>
    <w:p w:rsidR="000A2D80" w:rsidRDefault="000A2D80">
      <w:pPr>
        <w:spacing w:after="0" w:line="240" w:lineRule="auto"/>
      </w:pP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U okviru Računa financiranja na izdacima za financijsku imovinu i otplate zajmova iskazano je povećanje sredstava za 12.660.216 EUR zbog manj</w:t>
      </w:r>
      <w:r>
        <w:rPr>
          <w:rFonts w:ascii="Calibri" w:hAnsi="Calibri" w:cs="Calibri"/>
          <w:color w:val="262626"/>
        </w:rPr>
        <w:t>e otplaćenog iznosa zajma predviđenog u 2022. godini, tako da ukupan iznos otplate zajma u 2023. godini iznosi 107.554.174 EUR.</w:t>
      </w:r>
    </w:p>
    <w:p w:rsidR="000A2D80" w:rsidRDefault="00B01D72">
      <w:pPr>
        <w:spacing w:line="240" w:lineRule="auto"/>
        <w:jc w:val="both"/>
      </w:pPr>
      <w:r>
        <w:rPr>
          <w:rFonts w:ascii="Calibri" w:hAnsi="Calibri" w:cs="Calibri"/>
          <w:color w:val="262626"/>
        </w:rPr>
        <w:t>Prijenos sredstava iz prethodne godine iskazan je u iznosu od 162.666.040 EUR sukladno iskazanom iznosu u prijedlogu godišnjeg i</w:t>
      </w:r>
      <w:r>
        <w:rPr>
          <w:rFonts w:ascii="Calibri" w:hAnsi="Calibri" w:cs="Calibri"/>
          <w:color w:val="262626"/>
        </w:rPr>
        <w:t>zvršenja financijskog plana HZZO-a za 2022. godinu. </w:t>
      </w:r>
    </w:p>
    <w:sectPr w:rsidR="000A2D80">
      <w:footerReference w:type="default" r:id="rId6"/>
      <w:footerReference w:type="first" r:id="rId7"/>
      <w:pgSz w:w="12240" w:h="15840"/>
      <w:pgMar w:top="1152" w:right="1152" w:bottom="1152" w:left="11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1D72">
      <w:pPr>
        <w:spacing w:after="0" w:line="240" w:lineRule="auto"/>
      </w:pPr>
      <w:r>
        <w:separator/>
      </w:r>
    </w:p>
  </w:endnote>
  <w:endnote w:type="continuationSeparator" w:id="0">
    <w:p w:rsidR="00000000" w:rsidRDefault="00B0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80" w:rsidRDefault="00B01D7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1D7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1D72">
      <w:pPr>
        <w:spacing w:after="0" w:line="240" w:lineRule="auto"/>
      </w:pPr>
      <w:r>
        <w:separator/>
      </w:r>
    </w:p>
  </w:footnote>
  <w:footnote w:type="continuationSeparator" w:id="0">
    <w:p w:rsidR="00000000" w:rsidRDefault="00B0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80"/>
    <w:rsid w:val="000A2D80"/>
    <w:rsid w:val="00B0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BD9D0-0A34-4CE6-B8F8-3B0D480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Bogdanović Sandra</dc:creator>
  <cp:lastModifiedBy>Bogdanović Sandra</cp:lastModifiedBy>
  <cp:revision>2</cp:revision>
  <cp:lastPrinted>2023-05-04T08:02:00Z</cp:lastPrinted>
  <dcterms:created xsi:type="dcterms:W3CDTF">2023-05-04T08:04:00Z</dcterms:created>
  <dcterms:modified xsi:type="dcterms:W3CDTF">2023-05-04T08:04:00Z</dcterms:modified>
</cp:coreProperties>
</file>